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662C03F7" Type="http://schemas.openxmlformats.org/officeDocument/2006/relationships/officeDocument" Target="/word/document.xml" /><Relationship Id="coreR662C03F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W w:w="5000" w:type="pct"/>
        <w:tblCellSpacing w:w="0" w:type="dxa"/>
        <w:tblInd w:w="0" w:type="dxa"/>
        <w:tblLayout w:type="autofit"/>
        <w:tblCellMar>
          <w:top w:w="45" w:type="dxa"/>
          <w:left w:w="45" w:type="dxa"/>
          <w:bottom w:w="45" w:type="dxa"/>
          <w:right w:w="45" w:type="dxa"/>
        </w:tblCellMar>
      </w:tblPr>
      <w:tblGrid/>
      <w:tr>
        <w:tc>
          <w:tcPr>
            <w:tcW w:w="8426" w:type="dxa"/>
            <w:tcBorders>
              <w:top w:val="none" w:sz="0" w:space="0" w:shadow="0" w:frame="0"/>
              <w:left w:val="none" w:sz="0" w:space="0" w:shadow="0" w:frame="0"/>
              <w:bottom w:val="none" w:sz="0" w:space="0" w:shadow="0" w:frame="0"/>
              <w:right w:val="none" w:sz="0" w:space="0" w:shadow="0" w:frame="0"/>
            </w:tcBorders>
          </w:tcPr>
          <w:p>
            <w:pPr>
              <w:pStyle w:val="P1"/>
              <w:widowControl w:val="1"/>
              <w:jc w:val="center"/>
              <w:rPr>
                <w:rStyle w:val="C3"/>
                <w:rFonts w:ascii="新細明體" w:hAnsi="新細明體"/>
              </w:rPr>
            </w:pPr>
            <w:r>
              <w:rPr>
                <w:rStyle w:val="C3"/>
                <w:rFonts w:ascii="新細明體" w:hAnsi="新細明體"/>
                <w:b w:val="1"/>
                <w:color w:val="800000"/>
              </w:rPr>
              <w:t>個體工商戶建賬管理暫行辦法</w:t>
            </w:r>
          </w:p>
        </w:tc>
      </w:tr>
      <w:tr>
        <w:tc>
          <w:tcPr>
            <w:tcW w:w="8426" w:type="dxa"/>
            <w:tcBorders>
              <w:top w:val="none" w:sz="0" w:space="0" w:shadow="0" w:frame="0"/>
              <w:left w:val="none" w:sz="0" w:space="0" w:shadow="0" w:frame="0"/>
              <w:bottom w:val="none" w:sz="0" w:space="0" w:shadow="0" w:frame="0"/>
              <w:right w:val="none" w:sz="0" w:space="0" w:shadow="0" w:frame="0"/>
            </w:tcBorders>
          </w:tcPr>
          <w:p>
            <w:pPr>
              <w:pStyle w:val="P1"/>
              <w:widowControl w:val="1"/>
              <w:jc w:val="center"/>
              <w:rPr>
                <w:rStyle w:val="C3"/>
                <w:rFonts w:ascii="新細明體" w:hAnsi="新細明體"/>
              </w:rPr>
            </w:pPr>
            <w:r>
              <w:rPr>
                <w:rStyle w:val="C3"/>
                <w:rFonts w:ascii="新細明體" w:hAnsi="新細明體"/>
                <w:color w:val="614E4E"/>
              </w:rPr>
              <w:t>國家稅務總局令[2006]17號</w:t>
            </w:r>
          </w:p>
        </w:tc>
      </w:tr>
      <w:tr>
        <w:tc>
          <w:tcPr>
            <w:tcW w:w="8426" w:type="dxa"/>
            <w:tcBorders>
              <w:top w:val="none" w:sz="0" w:space="0" w:shadow="0" w:frame="0"/>
              <w:left w:val="none" w:sz="0" w:space="0" w:shadow="0" w:frame="0"/>
              <w:bottom w:val="none" w:sz="0" w:space="0" w:shadow="0" w:frame="0"/>
              <w:right w:val="none" w:sz="0" w:space="0" w:shadow="0" w:frame="0"/>
            </w:tcBorders>
          </w:tcPr>
          <w:p>
            <w:pPr>
              <w:pStyle w:val="P1"/>
              <w:widowControl w:val="1"/>
              <w:jc w:val="center"/>
              <w:rPr>
                <w:rStyle w:val="C3"/>
                <w:rFonts w:ascii="新細明體" w:hAnsi="新細明體"/>
              </w:rPr>
            </w:pPr>
          </w:p>
        </w:tc>
      </w:tr>
      <w:tr>
        <w:tc>
          <w:tcPr>
            <w:tcW w:w="8426" w:type="dxa"/>
            <w:tcBorders>
              <w:top w:val="none" w:sz="0" w:space="0" w:shadow="0" w:frame="0"/>
              <w:left w:val="none" w:sz="0" w:space="0" w:shadow="0" w:frame="0"/>
              <w:bottom w:val="none" w:sz="0" w:space="0" w:shadow="0" w:frame="0"/>
              <w:right w:val="none" w:sz="0" w:space="0" w:shadow="0" w:frame="0"/>
            </w:tcBorders>
          </w:tcPr>
          <w:p>
            <w:pPr>
              <w:pStyle w:val="P1"/>
              <w:widowControl w:val="1"/>
              <w:jc w:val="center"/>
              <w:rPr>
                <w:rStyle w:val="C3"/>
                <w:rFonts w:ascii="新細明體" w:hAnsi="新細明體"/>
              </w:rPr>
            </w:pPr>
            <w:r>
              <w:rPr>
                <w:rStyle w:val="C3"/>
                <w:rFonts w:ascii="新細明體" w:hAnsi="新細明體"/>
                <w:color w:val="614E4E"/>
              </w:rPr>
              <w:t>頒佈日期：20061215</w:t>
            </w:r>
            <w:r>
              <w:rPr>
                <w:rStyle w:val="C3"/>
                <w:rFonts w:ascii="新細明體" w:hAnsi="新細明體"/>
              </w:rPr>
              <w:t xml:space="preserve"> </w:t>
            </w:r>
            <w:r>
              <w:rPr>
                <w:rStyle w:val="C3"/>
                <w:rFonts w:ascii="新細明體" w:hAnsi="新細明體"/>
                <w:color w:val="614E4E"/>
              </w:rPr>
              <w:t>　實施日期：20070101</w:t>
            </w:r>
            <w:r>
              <w:rPr>
                <w:rStyle w:val="C3"/>
                <w:rFonts w:ascii="新細明體" w:hAnsi="新細明體"/>
              </w:rPr>
              <w:t xml:space="preserve"> </w:t>
            </w:r>
            <w:r>
              <w:rPr>
                <w:rStyle w:val="C3"/>
                <w:rFonts w:ascii="新細明體" w:hAnsi="新細明體"/>
                <w:color w:val="614E4E"/>
              </w:rPr>
              <w:t>　頒佈單位：國家稅務總局</w:t>
            </w:r>
            <w:r>
              <w:rPr>
                <w:rStyle w:val="C3"/>
                <w:rFonts w:ascii="新細明體" w:hAnsi="新細明體"/>
              </w:rPr>
              <w:t xml:space="preserve"> </w:t>
            </w:r>
          </w:p>
        </w:tc>
      </w:tr>
      <w:tr>
        <w:tc>
          <w:tcPr>
            <w:tcW w:w="8426" w:type="dxa"/>
            <w:tcBorders>
              <w:top w:val="none" w:sz="0" w:space="0" w:shadow="0" w:frame="0"/>
              <w:left w:val="none" w:sz="0" w:space="0" w:shadow="0" w:frame="0"/>
              <w:bottom w:val="none" w:sz="0" w:space="0" w:shadow="0" w:frame="0"/>
              <w:right w:val="none" w:sz="0" w:space="0" w:shadow="0" w:frame="0"/>
            </w:tcBorders>
          </w:tcPr>
          <w:tbl>
            <w:tblPr>
              <w:tblW w:w="5000" w:type="pct"/>
              <w:tblCellSpacing w:w="15" w:type="dxa"/>
              <w:tblInd w:w="0" w:type="dxa"/>
              <w:tblLayout w:type="autofit"/>
              <w:tblCellMar>
                <w:top w:w="15" w:type="dxa"/>
                <w:left w:w="15" w:type="dxa"/>
                <w:bottom w:w="15" w:type="dxa"/>
                <w:right w:w="15" w:type="dxa"/>
              </w:tblCellMar>
            </w:tblPr>
            <w:tblGrid/>
            <w:tr>
              <w:tc>
                <w:tcPr>
                  <w:tcW w:w="8290" w:type="dxa"/>
                  <w:tcBorders>
                    <w:top w:val="nil" w:sz="0" w:space="0" w:shadow="0" w:frame="0" w:color="000000"/>
                    <w:left w:val="nil" w:sz="0" w:space="0" w:shadow="0" w:frame="0" w:color="000000"/>
                    <w:bottom w:val="nil" w:sz="0" w:space="0" w:shadow="0" w:frame="0" w:color="000000"/>
                    <w:right w:val="nil" w:sz="0" w:space="0" w:shadow="0" w:frame="0" w:color="000000"/>
                  </w:tcBorders>
                </w:tcPr>
                <w:p>
                  <w:pPr>
                    <w:pStyle w:val="P1"/>
                    <w:widowControl w:val="1"/>
                    <w:spacing w:lineRule="atLeast" w:line="300"/>
                    <w:jc w:val="right"/>
                    <w:rPr>
                      <w:rStyle w:val="C3"/>
                      <w:rFonts w:ascii="新細明體" w:hAnsi="新細明體"/>
                      <w:color w:val="000000"/>
                    </w:rPr>
                  </w:pPr>
                  <w:r>
                    <w:rPr>
                      <w:rStyle w:val="C3"/>
                      <w:rFonts w:ascii="新細明體" w:hAnsi="新細明體"/>
                      <w:color w:val="000000"/>
                    </w:rPr>
                    <w:br w:type="textWrapping"/>
                    <w:t>　　2006年12月7日第4次局務會議審議通過，現予發佈，自2007年1月1日起施行。</w:t>
                    <w:br w:type="textWrapping"/>
                    <w:t>　　國家稅務總局</w:t>
                  </w:r>
                </w:p>
                <w:p>
                  <w:pPr>
                    <w:pStyle w:val="P1"/>
                    <w:widowControl w:val="1"/>
                    <w:spacing w:lineRule="atLeast" w:line="300"/>
                    <w:jc w:val="right"/>
                    <w:rPr>
                      <w:rStyle w:val="C3"/>
                      <w:rFonts w:ascii="新細明體" w:hAnsi="新細明體"/>
                      <w:color w:val="000000"/>
                    </w:rPr>
                  </w:pPr>
                  <w:r>
                    <w:rPr>
                      <w:rStyle w:val="C3"/>
                      <w:rFonts w:ascii="新細明體" w:hAnsi="新細明體"/>
                      <w:color w:val="000000"/>
                    </w:rPr>
                    <w:t xml:space="preserve">　　二○○六年十二月十五日 </w:t>
                  </w:r>
                </w:p>
                <w:p>
                  <w:pPr>
                    <w:pStyle w:val="P1"/>
                    <w:widowControl w:val="1"/>
                    <w:spacing w:lineRule="atLeast" w:line="300"/>
                    <w:rPr>
                      <w:rStyle w:val="C3"/>
                      <w:rFonts w:ascii="新細明體" w:hAnsi="新細明體"/>
                      <w:color w:val="000000"/>
                    </w:rPr>
                  </w:pPr>
                  <w:r>
                    <w:rPr>
                      <w:rStyle w:val="C3"/>
                      <w:rFonts w:ascii="新細明體" w:hAnsi="新細明體"/>
                      <w:color w:val="000000"/>
                    </w:rPr>
                    <w:t>　　第一條　爲了規範和加強個體工商戶稅收徵收管理， 促進個體工商戶加強經濟核算， 根據《</w:t>
                  </w:r>
                  <w:r>
                    <w:rPr>
                      <w:rStyle w:val="C3"/>
                      <w:rFonts w:ascii="新細明體" w:hAnsi="新細明體"/>
                      <w:color w:val="000000"/>
                    </w:rPr>
                    <w:fldChar w:fldCharType="begin"/>
                  </w:r>
                  <w:r>
                    <w:rPr>
                      <w:rStyle w:val="C3"/>
                      <w:rFonts w:ascii="新細明體" w:hAnsi="新細明體"/>
                      <w:color w:val="000000"/>
                    </w:rPr>
                    <w:instrText xml:space="preserve"> HYPERLINK "javascript:go(1,346,0)" </w:instrText>
                  </w:r>
                  <w:r>
                    <w:rPr>
                      <w:rStyle w:val="C3"/>
                      <w:rFonts w:ascii="新細明體" w:hAnsi="新細明體"/>
                      <w:color w:val="000000"/>
                    </w:rPr>
                    <w:fldChar w:fldCharType="separate"/>
                  </w:r>
                  <w:r>
                    <w:rPr>
                      <w:rStyle w:val="C3"/>
                      <w:rFonts w:ascii="新細明體" w:hAnsi="新細明體"/>
                      <w:color w:val="0000FF"/>
                      <w:u w:val="single"/>
                    </w:rPr>
                    <w:t>中華人民共和國稅收徵收管理法</w:t>
                  </w:r>
                  <w:r>
                    <w:rPr>
                      <w:rStyle w:val="C3"/>
                      <w:rFonts w:ascii="新細明體" w:hAnsi="新細明體"/>
                      <w:color w:val="0000FF"/>
                      <w:u w:val="single"/>
                    </w:rPr>
                    <w:fldChar w:fldCharType="end"/>
                  </w:r>
                  <w:r>
                    <w:rPr>
                      <w:rStyle w:val="C3"/>
                      <w:rFonts w:ascii="新細明體" w:hAnsi="新細明體"/>
                      <w:color w:val="000000"/>
                    </w:rPr>
                    <w:t xml:space="preserve">》（以下簡稱稅收征管法）及其實施細則和《國務院關於批轉國家稅務總局加強個體私營經濟稅收征管強化查賬徵收工作意見的通知》， 制定本辦法。 </w:t>
                  </w:r>
                </w:p>
                <w:p>
                  <w:pPr>
                    <w:pStyle w:val="P1"/>
                    <w:widowControl w:val="1"/>
                    <w:spacing w:lineRule="atLeast" w:line="300"/>
                    <w:rPr>
                      <w:rStyle w:val="C3"/>
                      <w:rFonts w:ascii="新細明體" w:hAnsi="新細明體"/>
                      <w:color w:val="000000"/>
                    </w:rPr>
                  </w:pPr>
                  <w:bookmarkStart w:id="0" w:name="#go2"/>
                  <w:r>
                    <w:rPr>
                      <w:rStyle w:val="C3"/>
                      <w:rFonts w:ascii="新細明體" w:hAnsi="新細明體"/>
                      <w:color w:val="000000"/>
                    </w:rPr>
                    <w:t>　　第二條　凡從事生産、經營並有固定生産、經營場所的個體工商戶，都應當按照法律、行政法規和本辦法的規定設置、使用和保管賬簿及憑證， 並根據合法、有效憑證記賬核算。</w:t>
                    <w:br w:type="textWrapping"/>
                    <w:t xml:space="preserve">　　稅務機關應同時採取有效措施，鞏固已有建賬成果，積極引導個體工商戶建立健全賬簿，正確進行核算，如實申報納稅。 </w:t>
                  </w:r>
                </w:p>
                <w:p>
                  <w:pPr>
                    <w:pStyle w:val="P1"/>
                    <w:widowControl w:val="1"/>
                    <w:spacing w:lineRule="atLeast" w:line="300"/>
                    <w:rPr>
                      <w:rStyle w:val="C3"/>
                      <w:rFonts w:ascii="新細明體" w:hAnsi="新細明體"/>
                      <w:color w:val="000000"/>
                    </w:rPr>
                  </w:pPr>
                  <w:bookmarkEnd w:id="0"/>
                  <w:bookmarkStart w:id="1" w:name="#go3"/>
                  <w:r>
                    <w:rPr>
                      <w:rStyle w:val="C3"/>
                      <w:rFonts w:ascii="新細明體" w:hAnsi="新細明體"/>
                      <w:color w:val="000000"/>
                    </w:rPr>
                    <w:t>　　第三條　符合下列情形之一的個體工商戶，應當設置複式賬：</w:t>
                    <w:br w:type="textWrapping"/>
                    <w:t>　　（一）註冊資金在20萬元以上的。</w:t>
                    <w:br w:type="textWrapping"/>
                    <w:t>　　（二）銷售增值稅應稅勞務的納稅人或營業稅納稅人月銷售（營業）額在40000元以上；從事貨物生産的增值稅納稅人月銷售額在60000元以上；從事貨物批發或零售的增值稅納稅人月銷售額在80000元以上的。</w:t>
                    <w:br w:type="textWrapping"/>
                    <w:t xml:space="preserve">　　（三）省級稅務機關確定應設置複式賬的其他情形。 </w:t>
                  </w:r>
                </w:p>
                <w:p>
                  <w:pPr>
                    <w:pStyle w:val="P1"/>
                    <w:widowControl w:val="1"/>
                    <w:spacing w:lineRule="atLeast" w:line="300"/>
                    <w:rPr>
                      <w:rStyle w:val="C3"/>
                      <w:rFonts w:ascii="新細明體" w:hAnsi="新細明體"/>
                      <w:color w:val="000000"/>
                    </w:rPr>
                  </w:pPr>
                  <w:bookmarkEnd w:id="1"/>
                  <w:bookmarkStart w:id="2" w:name="#go4"/>
                  <w:r>
                    <w:rPr>
                      <w:rStyle w:val="C3"/>
                      <w:rFonts w:ascii="新細明體" w:hAnsi="新細明體"/>
                      <w:color w:val="000000"/>
                    </w:rPr>
                    <w:t>　　第四條　符合下列情形之一的個體工商戶，應當設置簡易賬，並積極創造條件設置複式賬：</w:t>
                    <w:br w:type="textWrapping"/>
                    <w:t>　　（一）註冊資金在10萬元以上20萬元以下的。</w:t>
                    <w:br w:type="textWrapping"/>
                    <w:t>　　（二）銷售增值稅應稅勞務的納稅人或營業稅納稅人月銷售（營業）額在15000元至40000元；從事貨物生産的增值稅納稅人月銷售額在30000元至60000元；從事貨物批發或零售的增值稅納稅人月銷售額在40000元至80000元的。</w:t>
                    <w:br w:type="textWrapping"/>
                    <w:t xml:space="preserve">　　（三）省級稅務機關確定應當設置簡易賬的其他情形。 </w:t>
                  </w:r>
                </w:p>
                <w:p>
                  <w:pPr>
                    <w:pStyle w:val="P1"/>
                    <w:widowControl w:val="1"/>
                    <w:spacing w:lineRule="atLeast" w:line="300"/>
                    <w:rPr>
                      <w:rStyle w:val="C3"/>
                      <w:rFonts w:ascii="新細明體" w:hAnsi="新細明體"/>
                      <w:color w:val="000000"/>
                    </w:rPr>
                  </w:pPr>
                  <w:bookmarkEnd w:id="2"/>
                  <w:bookmarkStart w:id="3" w:name="#go5"/>
                  <w:r>
                    <w:rPr>
                      <w:rStyle w:val="C3"/>
                      <w:rFonts w:ascii="新細明體" w:hAnsi="新細明體"/>
                      <w:color w:val="000000"/>
                    </w:rPr>
                    <w:t xml:space="preserve">　　第五條　上述所稱納稅人月銷售額或月營業額，是指個體工商戶上一個納稅年度月平均銷售額或營業額；新辦的個體工商戶爲業戶預估的當年度經營期月平均銷售額或營業額。 </w:t>
                  </w:r>
                </w:p>
                <w:p>
                  <w:pPr>
                    <w:pStyle w:val="P1"/>
                    <w:widowControl w:val="1"/>
                    <w:spacing w:lineRule="atLeast" w:line="300"/>
                    <w:rPr>
                      <w:rStyle w:val="C3"/>
                      <w:rFonts w:ascii="新細明體" w:hAnsi="新細明體"/>
                      <w:color w:val="000000"/>
                    </w:rPr>
                  </w:pPr>
                  <w:bookmarkEnd w:id="3"/>
                  <w:bookmarkStart w:id="4" w:name="#go6"/>
                  <w:r>
                    <w:rPr>
                      <w:rStyle w:val="C3"/>
                      <w:rFonts w:ascii="新細明體" w:hAnsi="新細明體"/>
                      <w:color w:val="000000"/>
                    </w:rPr>
                    <w:t xml:space="preserve">　　第六條　達不到上述建賬標準的個體工商戶，經縣以上稅務機關批准，可按照稅收征管法的規定，建立收支憑證粘貼簿、進貨銷貨登記簿或者使用稅控裝置。 </w:t>
                  </w:r>
                </w:p>
                <w:p>
                  <w:pPr>
                    <w:pStyle w:val="P1"/>
                    <w:widowControl w:val="1"/>
                    <w:spacing w:lineRule="atLeast" w:line="300"/>
                    <w:rPr>
                      <w:rStyle w:val="C3"/>
                      <w:rFonts w:ascii="新細明體" w:hAnsi="新細明體"/>
                      <w:color w:val="000000"/>
                    </w:rPr>
                  </w:pPr>
                  <w:bookmarkEnd w:id="4"/>
                  <w:bookmarkStart w:id="5" w:name="#go7"/>
                  <w:r>
                    <w:rPr>
                      <w:rStyle w:val="C3"/>
                      <w:rFonts w:ascii="新細明體" w:hAnsi="新細明體"/>
                      <w:color w:val="000000"/>
                    </w:rPr>
                    <w:t xml:space="preserve">　　第七條　達到建賬標準的個體工商戶，應當根據自身生産、經營情況和本辦法規定的設置賬簿條件，對照選擇設置複式賬或簡易賬，並報主管稅務機關備案。賬簿方式一經確定，在一個納稅年度內不得進行變更。 </w:t>
                  </w:r>
                </w:p>
                <w:p>
                  <w:pPr>
                    <w:pStyle w:val="P1"/>
                    <w:widowControl w:val="1"/>
                    <w:spacing w:lineRule="atLeast" w:line="300"/>
                    <w:rPr>
                      <w:rStyle w:val="C3"/>
                      <w:rFonts w:ascii="新細明體" w:hAnsi="新細明體"/>
                      <w:color w:val="000000"/>
                    </w:rPr>
                  </w:pPr>
                  <w:bookmarkEnd w:id="5"/>
                  <w:bookmarkStart w:id="6" w:name="#go8"/>
                  <w:r>
                    <w:rPr>
                      <w:rStyle w:val="C3"/>
                      <w:rFonts w:ascii="新細明體" w:hAnsi="新細明體"/>
                      <w:color w:val="000000"/>
                    </w:rPr>
                    <w:t xml:space="preserve">　　第八條　達到建賬標準的個體工商戶，應當自領取營業執照或者發生納稅義務之日起15日內，按照法律、行政法規和本辦法的有關規定設置賬簿並辦理賬務，不得僞造、變造或者擅自損毀賬簿、記賬憑證、完稅憑證和其他有關資料。 </w:t>
                  </w:r>
                </w:p>
                <w:p>
                  <w:pPr>
                    <w:pStyle w:val="P1"/>
                    <w:widowControl w:val="1"/>
                    <w:spacing w:lineRule="atLeast" w:line="300"/>
                    <w:rPr>
                      <w:rStyle w:val="C3"/>
                      <w:rFonts w:ascii="新細明體" w:hAnsi="新細明體"/>
                      <w:color w:val="000000"/>
                    </w:rPr>
                  </w:pPr>
                  <w:bookmarkEnd w:id="6"/>
                  <w:bookmarkStart w:id="7" w:name="#go9"/>
                  <w:r>
                    <w:rPr>
                      <w:rStyle w:val="C3"/>
                      <w:rFonts w:ascii="新細明體" w:hAnsi="新細明體"/>
                      <w:color w:val="000000"/>
                    </w:rPr>
                    <w:t>　　第九條　設置複式賬的個體工商戶應按《個體工商戶會計制度（試行）》的規定設置總分類賬、明細分類賬、日記賬等， 進行財務會計核算，如實記載財務收支情況。成本、費用列支和其他財務核算規定按照《個體工商戶個人所得稅計稅辦法（試行）》執行。</w:t>
                    <w:br w:type="textWrapping"/>
                    <w:t xml:space="preserve">　　設置簡易賬的個體工商戶應當設置經營收入賬、經營費用賬、商品（材料）購進賬、庫存商品（材料）盤點表和利潤表， 以收支方式記錄、反映生産、經營情況並進行簡易會計核算。 </w:t>
                  </w:r>
                </w:p>
                <w:p>
                  <w:pPr>
                    <w:pStyle w:val="P1"/>
                    <w:widowControl w:val="1"/>
                    <w:spacing w:lineRule="atLeast" w:line="300"/>
                    <w:rPr>
                      <w:rStyle w:val="C3"/>
                      <w:rFonts w:ascii="新細明體" w:hAnsi="新細明體"/>
                      <w:color w:val="000000"/>
                    </w:rPr>
                  </w:pPr>
                  <w:bookmarkEnd w:id="7"/>
                  <w:bookmarkStart w:id="8" w:name="#go10"/>
                  <w:r>
                    <w:rPr>
                      <w:rStyle w:val="C3"/>
                      <w:rFonts w:ascii="新細明體" w:hAnsi="新細明體"/>
                      <w:color w:val="000000"/>
                    </w:rPr>
                    <w:t>　　第十條　複式賬簿中現金日記賬， 銀行存款日記賬和總分類賬必須使用訂本式，其他賬簿可以根據業務的實際發生情況選用活頁賬簿。簡易賬簿均應採用訂本式。</w:t>
                    <w:br w:type="textWrapping"/>
                    <w:t>　　賬簿和憑證應當按照發生的時間順序填寫， 裝訂或者粘貼。</w:t>
                    <w:br w:type="textWrapping"/>
                    <w:t xml:space="preserve">　　建賬戶對各種賬簿、記賬憑證、報表、完稅憑證和其他有關涉稅資料應當保存10年。 </w:t>
                  </w:r>
                </w:p>
                <w:p>
                  <w:pPr>
                    <w:pStyle w:val="P1"/>
                    <w:widowControl w:val="1"/>
                    <w:spacing w:lineRule="atLeast" w:line="300"/>
                    <w:rPr>
                      <w:rStyle w:val="C3"/>
                      <w:rFonts w:ascii="新細明體" w:hAnsi="新細明體"/>
                      <w:color w:val="000000"/>
                    </w:rPr>
                  </w:pPr>
                  <w:bookmarkEnd w:id="8"/>
                  <w:bookmarkStart w:id="9" w:name="#go11"/>
                  <w:r>
                    <w:rPr>
                      <w:rStyle w:val="C3"/>
                      <w:rFonts w:ascii="新細明體" w:hAnsi="新細明體"/>
                      <w:color w:val="000000"/>
                    </w:rPr>
                    <w:t xml:space="preserve">　　第十一條　設置複式賬的個體工商戶在辦理納稅申報時，應當按照規定向當地主管稅務機關報送財務會計報表和有關納稅資料。月度會計報表應當於月份終了後10日內報出， 年度會計報表應當在年度終了後30日內報出。 </w:t>
                  </w:r>
                </w:p>
                <w:p>
                  <w:pPr>
                    <w:pStyle w:val="P1"/>
                    <w:widowControl w:val="1"/>
                    <w:spacing w:lineRule="atLeast" w:line="300"/>
                    <w:rPr>
                      <w:rStyle w:val="C3"/>
                      <w:rFonts w:ascii="新細明體" w:hAnsi="新細明體"/>
                      <w:color w:val="000000"/>
                    </w:rPr>
                  </w:pPr>
                  <w:bookmarkEnd w:id="9"/>
                  <w:bookmarkStart w:id="10" w:name="#go12"/>
                  <w:r>
                    <w:rPr>
                      <w:rStyle w:val="C3"/>
                      <w:rFonts w:ascii="新細明體" w:hAnsi="新細明體"/>
                      <w:color w:val="000000"/>
                    </w:rPr>
                    <w:t xml:space="preserve">　　第十二條　個體工商戶可以聘請經批准從事會計代理記賬業務的專業機構或者具備資質的財會人員代爲建賬和辦理賬務。 </w:t>
                  </w:r>
                </w:p>
                <w:p>
                  <w:pPr>
                    <w:pStyle w:val="P1"/>
                    <w:widowControl w:val="1"/>
                    <w:spacing w:lineRule="atLeast" w:line="300"/>
                    <w:rPr>
                      <w:rStyle w:val="C3"/>
                      <w:rFonts w:ascii="新細明體" w:hAnsi="新細明體"/>
                      <w:color w:val="000000"/>
                    </w:rPr>
                  </w:pPr>
                  <w:bookmarkEnd w:id="10"/>
                  <w:bookmarkStart w:id="11" w:name="#go13"/>
                  <w:r>
                    <w:rPr>
                      <w:rStyle w:val="C3"/>
                      <w:rFonts w:ascii="新細明體" w:hAnsi="新細明體"/>
                      <w:color w:val="000000"/>
                    </w:rPr>
                    <w:t xml:space="preserve">　　第十三條　按照稅務機關規定的要求使用稅控收銀機的個體工商戶， 其稅控收銀機輸出的完整的書面記錄，可以視同經營收入賬。 </w:t>
                  </w:r>
                </w:p>
                <w:p>
                  <w:pPr>
                    <w:pStyle w:val="P1"/>
                    <w:widowControl w:val="1"/>
                    <w:spacing w:lineRule="atLeast" w:line="300"/>
                    <w:rPr>
                      <w:rStyle w:val="C3"/>
                      <w:rFonts w:ascii="新細明體" w:hAnsi="新細明體"/>
                      <w:color w:val="000000"/>
                    </w:rPr>
                  </w:pPr>
                  <w:bookmarkEnd w:id="11"/>
                  <w:bookmarkStart w:id="12" w:name="#go14"/>
                  <w:r>
                    <w:rPr>
                      <w:rStyle w:val="C3"/>
                      <w:rFonts w:ascii="新細明體" w:hAnsi="新細明體"/>
                      <w:color w:val="000000"/>
                    </w:rPr>
                    <w:t xml:space="preserve">　　第十四條　稅務機關對建賬戶採用查賬徵收方式徵收稅款。建賬初期， 也可以採用查賬徵收與定期定額徵收相結合的方式徵收稅款。 </w:t>
                  </w:r>
                </w:p>
                <w:p>
                  <w:pPr>
                    <w:pStyle w:val="P1"/>
                    <w:widowControl w:val="1"/>
                    <w:spacing w:lineRule="atLeast" w:line="300"/>
                    <w:rPr>
                      <w:rStyle w:val="C3"/>
                      <w:rFonts w:ascii="新細明體" w:hAnsi="新細明體"/>
                      <w:color w:val="000000"/>
                    </w:rPr>
                  </w:pPr>
                  <w:bookmarkEnd w:id="12"/>
                  <w:bookmarkStart w:id="13" w:name="#go15"/>
                  <w:r>
                    <w:rPr>
                      <w:rStyle w:val="C3"/>
                      <w:rFonts w:ascii="新細明體" w:hAnsi="新細明體"/>
                      <w:color w:val="000000"/>
                    </w:rPr>
                    <w:t xml:space="preserve">　　第十五條　按照建賬戶流轉稅徵收權的歸屬劃分建賬管轄權，即以繳納增值稅、消費稅爲主的個體工商戶，由國家稅務局負責督促建賬和管理；以繳納營業稅爲主的個體工商戶，由地方稅務局負責督促建賬和管理。 </w:t>
                  </w:r>
                </w:p>
                <w:p>
                  <w:pPr>
                    <w:pStyle w:val="P1"/>
                    <w:widowControl w:val="1"/>
                    <w:spacing w:lineRule="atLeast" w:line="300"/>
                    <w:rPr>
                      <w:rStyle w:val="C3"/>
                      <w:rFonts w:ascii="新細明體" w:hAnsi="新細明體"/>
                      <w:color w:val="000000"/>
                    </w:rPr>
                  </w:pPr>
                  <w:bookmarkEnd w:id="13"/>
                  <w:bookmarkStart w:id="14" w:name="#go16"/>
                  <w:r>
                    <w:rPr>
                      <w:rStyle w:val="C3"/>
                      <w:rFonts w:ascii="新細明體" w:hAnsi="新細明體"/>
                      <w:color w:val="000000"/>
                    </w:rPr>
                    <w:t xml:space="preserve">　　第十六條　依照本辦法規定應當設置賬簿的個體工商戶，具有稅收征管法第三十五條第一款第二項至第六項情形之一的，稅務機關有權根據稅收征管法實施細則第四十七條規定的方法核定其應納稅額。 </w:t>
                  </w:r>
                </w:p>
                <w:p>
                  <w:pPr>
                    <w:pStyle w:val="P1"/>
                    <w:widowControl w:val="1"/>
                    <w:spacing w:lineRule="atLeast" w:line="300"/>
                    <w:rPr>
                      <w:rStyle w:val="C3"/>
                      <w:rFonts w:ascii="新細明體" w:hAnsi="新細明體"/>
                      <w:color w:val="000000"/>
                    </w:rPr>
                  </w:pPr>
                  <w:bookmarkEnd w:id="14"/>
                  <w:bookmarkStart w:id="15" w:name="#go17"/>
                  <w:r>
                    <w:rPr>
                      <w:rStyle w:val="C3"/>
                      <w:rFonts w:ascii="新細明體" w:hAnsi="新細明體"/>
                      <w:color w:val="000000"/>
                    </w:rPr>
                    <w:t xml:space="preserve">　　第十七條　依照本辦法規定應當設置賬簿的個體工商戶違反有關法律、行政法規和本辦法關於賬簿設置、使用和保管規定的，由國家稅務局、地方稅務局按照稅收征管法的有關規定進行處理。但對於個體工商戶的同一違法行爲，國家稅務局與地方稅務局不得重復處罰。 </w:t>
                  </w:r>
                </w:p>
                <w:p>
                  <w:pPr>
                    <w:pStyle w:val="P1"/>
                    <w:widowControl w:val="1"/>
                    <w:spacing w:lineRule="atLeast" w:line="300"/>
                    <w:rPr>
                      <w:rStyle w:val="C3"/>
                      <w:rFonts w:ascii="新細明體" w:hAnsi="新細明體"/>
                      <w:color w:val="000000"/>
                    </w:rPr>
                  </w:pPr>
                  <w:bookmarkEnd w:id="15"/>
                  <w:bookmarkStart w:id="16" w:name="#go18"/>
                  <w:r>
                    <w:rPr>
                      <w:rStyle w:val="C3"/>
                      <w:rFonts w:ascii="新細明體" w:hAnsi="新細明體"/>
                      <w:color w:val="000000"/>
                    </w:rPr>
                    <w:t xml:space="preserve">　　第十八條　個體工商戶建賬工作中所涉及的有關賬簿、憑證、表格，按照有關規定辦理。 </w:t>
                  </w:r>
                </w:p>
                <w:p>
                  <w:pPr>
                    <w:pStyle w:val="P1"/>
                    <w:widowControl w:val="1"/>
                    <w:spacing w:lineRule="atLeast" w:line="300"/>
                    <w:rPr>
                      <w:rStyle w:val="C3"/>
                      <w:rFonts w:ascii="新細明體" w:hAnsi="新細明體"/>
                      <w:color w:val="000000"/>
                    </w:rPr>
                  </w:pPr>
                  <w:bookmarkEnd w:id="16"/>
                  <w:bookmarkStart w:id="17" w:name="#go19"/>
                  <w:r>
                    <w:rPr>
                      <w:rStyle w:val="C3"/>
                      <w:rFonts w:ascii="新細明體" w:hAnsi="新細明體"/>
                      <w:color w:val="000000"/>
                    </w:rPr>
                    <w:t xml:space="preserve">　　第十九條　本辦法所稱“以上”均含本數。 </w:t>
                  </w:r>
                </w:p>
                <w:p>
                  <w:pPr>
                    <w:pStyle w:val="P1"/>
                    <w:widowControl w:val="1"/>
                    <w:spacing w:lineRule="atLeast" w:line="300"/>
                    <w:rPr>
                      <w:rStyle w:val="C3"/>
                      <w:rFonts w:ascii="新細明體" w:hAnsi="新細明體"/>
                      <w:color w:val="000000"/>
                    </w:rPr>
                  </w:pPr>
                  <w:bookmarkEnd w:id="17"/>
                  <w:bookmarkStart w:id="18" w:name="#go20"/>
                  <w:r>
                    <w:rPr>
                      <w:rStyle w:val="C3"/>
                      <w:rFonts w:ascii="新細明體" w:hAnsi="新細明體"/>
                      <w:color w:val="000000"/>
                    </w:rPr>
                    <w:t xml:space="preserve">　　第二十條　各省、自治區、直轄市和計劃單列市國家稅務局、地方稅務局可根據本辦法制定具體實施辦法，並報國家稅務總局備案。 </w:t>
                  </w:r>
                </w:p>
                <w:p>
                  <w:pPr>
                    <w:pStyle w:val="P1"/>
                    <w:widowControl w:val="1"/>
                    <w:rPr>
                      <w:rStyle w:val="C3"/>
                      <w:rFonts w:ascii="新細明體" w:hAnsi="新細明體"/>
                    </w:rPr>
                  </w:pPr>
                  <w:bookmarkEnd w:id="18"/>
                  <w:bookmarkStart w:id="19" w:name="#go21"/>
                  <w:r>
                    <w:rPr>
                      <w:rStyle w:val="C3"/>
                      <w:rFonts w:ascii="新細明體" w:hAnsi="新細明體"/>
                      <w:color w:val="000000"/>
                    </w:rPr>
                    <w:t>　　第二十一條　本辦法自2007年1月1日起施行。</w:t>
                  </w:r>
                  <w:bookmarkEnd w:id="19"/>
                  <w:r>
                    <w:rPr>
                      <w:rStyle w:val="C3"/>
                      <w:rFonts w:ascii="新細明體" w:hAnsi="新細明體"/>
                      <w:color w:val="000000"/>
                    </w:rPr>
                    <w:t>1997年6月19日國家稅務總局發佈的《個體工商戶建賬管理暫行辦法》同時廢止。</w:t>
                  </w:r>
                </w:p>
              </w:tc>
            </w:tr>
          </w:tbl>
          <w:p>
            <w:pPr>
              <w:pStyle w:val="P1"/>
              <w:widowControl w:val="1"/>
              <w:jc w:val="center"/>
              <w:rPr>
                <w:rStyle w:val="C3"/>
                <w:rFonts w:ascii="新細明體" w:hAnsi="新細明體"/>
              </w:rPr>
            </w:pPr>
          </w:p>
        </w:tc>
      </w:tr>
    </w:tbl>
    <w:p>
      <w:pPr>
        <w:pStyle w:val="P1"/>
        <w:rPr>
          <w:rStyle w:val="C3"/>
          <w:rFonts w:ascii="新細明體" w:hAnsi="新細明體"/>
        </w:rPr>
      </w:pPr>
    </w:p>
    <w:sectPr>
      <w:footerReference xmlns:r="http://schemas.openxmlformats.org/officeDocument/2006/relationships" w:type="default" r:id="RelFtr1"/>
      <w:footerReference xmlns:r="http://schemas.openxmlformats.org/officeDocument/2006/relationships" w:type="even" r:id="RelFtr2"/>
      <w:type w:val="nextPage"/>
      <w:pgSz w:w="11906" w:h="16838" w:code="0"/>
      <w:pgMar w:left="1800" w:right="1800" w:top="1440" w:bottom="1440" w:header="851" w:footer="992" w:gutter="0"/>
      <w:cols w:equalWidth="1" w:space="425"/>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framePr w:wrap="around" w:vAnchor="text" w:hAnchor="margin" w:x="-4" w:y="1"/>
      <w:rPr>
        <w:rStyle w:val="C5"/>
      </w:rPr>
    </w:pPr>
    <w:r>
      <w:fldChar w:fldCharType="begin"/>
    </w:r>
    <w:r>
      <w:rPr>
        <w:rStyle w:val="C5"/>
      </w:rPr>
      <w:instrText xml:space="preserve">PAGE  </w:instrText>
    </w:r>
    <w:r>
      <w:rPr>
        <w:rStyle w:val="C5"/>
      </w:rPr>
      <w:fldChar w:fldCharType="separate"/>
    </w:r>
    <w:r>
      <w:rPr>
        <w:rStyle w:val="C5"/>
      </w:rPr>
      <w:t>#</w:t>
    </w:r>
    <w:r>
      <w:rPr>
        <w:rStyle w:val="C5"/>
      </w:rPr>
      <w:fldChar w:fldCharType="end"/>
    </w:r>
  </w:p>
  <w:p>
    <w:pPr>
      <w:pStyle w:val="P2"/>
      <w:rPr>
        <w:rStyle w:val="C5"/>
      </w:rPr>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framePr w:wrap="around" w:vAnchor="text" w:hAnchor="margin" w:x="-4" w:y="1"/>
      <w:rPr>
        <w:rStyle w:val="C5"/>
      </w:rPr>
    </w:pPr>
    <w:r>
      <w:fldChar w:fldCharType="begin"/>
    </w:r>
    <w:r>
      <w:rPr>
        <w:rStyle w:val="C5"/>
      </w:rPr>
      <w:instrText xml:space="preserve">PAGE  </w:instrText>
    </w:r>
    <w:r>
      <w:rPr>
        <w:rStyle w:val="C5"/>
      </w:rPr>
      <w:fldChar w:fldCharType="separate"/>
    </w:r>
    <w:r>
      <w:rPr>
        <w:rStyle w:val="C5"/>
      </w:rPr>
      <w:t>#</w:t>
    </w:r>
    <w:r>
      <w:rPr>
        <w:rStyle w:val="C5"/>
      </w:rPr>
      <w:fldChar w:fldCharType="end"/>
    </w:r>
  </w:p>
  <w:p>
    <w:pPr>
      <w:pStyle w:val="P2"/>
      <w:rPr>
        <w:rStyle w:val="C5"/>
      </w:rPr>
    </w:pPr>
  </w:p>
</w:ft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cumentProtection w:enforcement="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paragraph" w:styleId="P1">
    <w:name w:val="內文"/>
    <w:next w:val="P1"/>
    <w:pPr>
      <w:widowControl w:val="0"/>
    </w:pPr>
    <w:rPr>
      <w:sz w:val="24"/>
    </w:rPr>
  </w:style>
  <w:style w:type="paragraph" w:styleId="P2">
    <w:name w:val="頁尾"/>
    <w:basedOn w:val="P1"/>
    <w:next w:val="P2"/>
    <w:pPr>
      <w:tabs>
        <w:tab w:val="center" w:pos="4153" w:leader="none"/>
        <w:tab w:val="right" w:pos="8306" w:leader="none"/>
      </w:tabs>
    </w:pPr>
    <w:rPr>
      <w:sz w:val="18"/>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預設段落字型"/>
    <w:rPr/>
  </w:style>
  <w:style w:type="character" w:styleId="C4">
    <w:name w:val="超連結"/>
    <w:basedOn w:val="C3"/>
    <w:rPr>
      <w:color w:val="0000FF"/>
      <w:u w:val="single"/>
    </w:rPr>
  </w:style>
  <w:style w:type="character" w:styleId="C5">
    <w:name w:val="頁碼"/>
    <w:basedOn w:val="C3"/>
    <w:rPr/>
  </w:style>
  <w:style w:type="character" w:styleId="C6">
    <w:name w:val="已查閱的超連結"/>
    <w:basedOn w:val="C3"/>
    <w:rPr>
      <w:color w:val="800080"/>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MC SYSTEM</dc:creator>
  <dcterms:created xsi:type="dcterms:W3CDTF">2007-03-21T03:00:00Z</dcterms:created>
  <cp:lastModifiedBy>WIN-38M81M2010G\Administrator</cp:lastModifiedBy>
  <dcterms:modified xsi:type="dcterms:W3CDTF">2022-10-17T14:57:26Z</dcterms:modified>
  <cp:revision>4</cp:revision>
  <dc:title>个体工商户建账管理暂行办法</dc:title>
</cp:coreProperties>
</file>